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hint="eastAsia" w:ascii="宋体" w:hAnsi="宋体" w:eastAsia="宋体"/>
          <w:b/>
          <w:bCs/>
          <w:color w:val="000000"/>
          <w:sz w:val="24"/>
          <w:szCs w:val="24"/>
          <w:lang w:eastAsia="zh-CN"/>
        </w:rPr>
      </w:pPr>
      <w:r>
        <w:rPr>
          <w:rFonts w:hint="eastAsia" w:ascii="宋体" w:hAnsi="宋体" w:eastAsia="宋体"/>
          <w:b/>
          <w:bCs/>
          <w:color w:val="000000"/>
          <w:sz w:val="24"/>
          <w:szCs w:val="24"/>
        </w:rPr>
        <w:t>附件</w:t>
      </w:r>
      <w:r>
        <w:rPr>
          <w:rFonts w:hint="eastAsia" w:ascii="宋体" w:hAnsi="宋体"/>
          <w:b/>
          <w:bCs/>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after="469" w:afterLines="150" w:line="360" w:lineRule="auto"/>
        <w:ind w:firstLine="723" w:firstLineChars="200"/>
        <w:jc w:val="center"/>
        <w:textAlignment w:val="auto"/>
        <w:rPr>
          <w:rFonts w:hint="eastAsia" w:ascii="宋体-简" w:hAnsi="宋体-简" w:eastAsia="宋体-简" w:cs="宋体-简"/>
          <w:b/>
          <w:bCs/>
          <w:sz w:val="32"/>
          <w:szCs w:val="32"/>
        </w:rPr>
      </w:pPr>
      <w:bookmarkStart w:id="0" w:name="_GoBack"/>
      <w:bookmarkEnd w:id="0"/>
      <w:r>
        <w:rPr>
          <w:rFonts w:hint="eastAsia" w:ascii="宋体" w:hAnsi="宋体" w:eastAsia="宋体"/>
          <w:b/>
          <w:bCs/>
          <w:color w:val="000000"/>
          <w:sz w:val="36"/>
          <w:szCs w:val="36"/>
        </w:rPr>
        <w:t>成都大学第二届</w:t>
      </w:r>
      <w:r>
        <w:rPr>
          <w:rFonts w:hint="eastAsia" w:ascii="宋体" w:hAnsi="宋体" w:eastAsia="宋体"/>
          <w:b/>
          <w:bCs/>
          <w:color w:val="000000"/>
          <w:sz w:val="36"/>
          <w:szCs w:val="36"/>
          <w:lang w:eastAsia="zh-CN"/>
        </w:rPr>
        <w:t>“</w:t>
      </w:r>
      <w:r>
        <w:rPr>
          <w:rFonts w:hint="eastAsia" w:ascii="宋体" w:hAnsi="宋体" w:eastAsia="宋体"/>
          <w:b/>
          <w:bCs/>
          <w:color w:val="000000"/>
          <w:sz w:val="36"/>
          <w:szCs w:val="36"/>
          <w:lang w:val="en-US" w:eastAsia="zh-CN"/>
        </w:rPr>
        <w:t>礼射杯</w:t>
      </w:r>
      <w:r>
        <w:rPr>
          <w:rFonts w:hint="eastAsia" w:ascii="宋体" w:hAnsi="宋体" w:eastAsia="宋体"/>
          <w:b/>
          <w:bCs/>
          <w:color w:val="000000"/>
          <w:sz w:val="36"/>
          <w:szCs w:val="36"/>
          <w:lang w:eastAsia="zh-CN"/>
        </w:rPr>
        <w:t>”</w:t>
      </w:r>
      <w:r>
        <w:rPr>
          <w:rFonts w:hint="eastAsia" w:ascii="宋体" w:hAnsi="宋体" w:eastAsia="宋体"/>
          <w:b/>
          <w:bCs/>
          <w:color w:val="000000"/>
          <w:sz w:val="36"/>
          <w:szCs w:val="36"/>
          <w:lang w:val="en-US" w:eastAsia="zh-CN"/>
        </w:rPr>
        <w:t>射艺</w:t>
      </w:r>
      <w:r>
        <w:rPr>
          <w:rFonts w:hint="eastAsia" w:ascii="宋体" w:hAnsi="宋体" w:eastAsia="宋体" w:cs="Times New Roman"/>
          <w:b/>
          <w:bCs/>
          <w:color w:val="000000"/>
          <w:sz w:val="36"/>
          <w:szCs w:val="36"/>
        </w:rPr>
        <w:t>竞赛办法</w:t>
      </w:r>
    </w:p>
    <w:p>
      <w:pPr>
        <w:rPr>
          <w:rFonts w:hint="default"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一、比赛办法</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(一) 所有参赛运动员必须持有学生证；</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(二) 参赛运动员弓、箭器材</w:t>
      </w:r>
      <w:r>
        <w:rPr>
          <w:rFonts w:hint="eastAsia" w:cs="宋体" w:asciiTheme="minorEastAsia" w:hAnsiTheme="minorEastAsia" w:eastAsiaTheme="minorEastAsia"/>
          <w:sz w:val="24"/>
          <w:szCs w:val="24"/>
        </w:rPr>
        <w:t>由</w:t>
      </w:r>
      <w:r>
        <w:rPr>
          <w:rFonts w:hint="eastAsia" w:cs="宋体" w:asciiTheme="minorEastAsia" w:hAnsiTheme="minorEastAsia" w:eastAsiaTheme="minorEastAsia"/>
          <w:sz w:val="24"/>
          <w:szCs w:val="24"/>
          <w:lang w:val="en-US" w:eastAsia="zh-CN"/>
        </w:rPr>
        <w:t>射箭</w:t>
      </w:r>
      <w:r>
        <w:rPr>
          <w:rFonts w:hint="eastAsia" w:cs="宋体" w:asciiTheme="minorEastAsia" w:hAnsiTheme="minorEastAsia" w:eastAsiaTheme="minorEastAsia"/>
          <w:sz w:val="24"/>
          <w:szCs w:val="24"/>
        </w:rPr>
        <w:t>协会提供，若运动员</w:t>
      </w:r>
      <w:r>
        <w:rPr>
          <w:rFonts w:hint="eastAsia" w:cs="宋体" w:asciiTheme="minorEastAsia" w:hAnsiTheme="minorEastAsia" w:eastAsiaTheme="minorEastAsia"/>
          <w:sz w:val="24"/>
          <w:szCs w:val="24"/>
          <w:lang w:val="zh-CN"/>
        </w:rPr>
        <w:t>自备，需符合器材规定，并接受器材检查；</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(三) 侯靶按以下竞赛办法执行；</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zh-CN"/>
        </w:rPr>
        <w:t>比赛用靶为侯靶</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drawing>
          <wp:anchor distT="0" distB="0" distL="114300" distR="114300" simplePos="0" relativeHeight="251659264" behindDoc="0" locked="0" layoutInCell="1" allowOverlap="1">
            <wp:simplePos x="0" y="0"/>
            <wp:positionH relativeFrom="column">
              <wp:posOffset>4842510</wp:posOffset>
            </wp:positionH>
            <wp:positionV relativeFrom="paragraph">
              <wp:posOffset>34925</wp:posOffset>
            </wp:positionV>
            <wp:extent cx="1228725" cy="1228725"/>
            <wp:effectExtent l="0" t="0" r="3175" b="3175"/>
            <wp:wrapSquare wrapText="bothSides"/>
            <wp:docPr id="3" name="图片 1" descr="G:\1射艺\3教材\4教材拍摄\0教材插图\4规则\4-2-2武试侯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G:\1射艺\3教材\4教材拍摄\0教材插图\4规则\4-2-2武试侯靶.jpg"/>
                    <pic:cNvPicPr>
                      <a:picLocks noChangeAspect="1" noChangeArrowheads="1"/>
                    </pic:cNvPicPr>
                  </pic:nvPicPr>
                  <pic:blipFill>
                    <a:blip r:embed="rId4" cstate="print"/>
                    <a:srcRect/>
                    <a:stretch>
                      <a:fillRect/>
                    </a:stretch>
                  </pic:blipFill>
                  <pic:spPr>
                    <a:xfrm>
                      <a:off x="0" y="0"/>
                      <a:ext cx="1228725" cy="1228725"/>
                    </a:xfrm>
                    <a:prstGeom prst="rect">
                      <a:avLst/>
                    </a:prstGeom>
                    <a:noFill/>
                    <a:ln w="9525">
                      <a:noFill/>
                      <a:miter lim="800000"/>
                      <a:headEnd/>
                      <a:tailEnd/>
                    </a:ln>
                  </pic:spPr>
                </pic:pic>
              </a:graphicData>
            </a:graphic>
          </wp:anchor>
        </w:drawing>
      </w:r>
      <w:r>
        <w:rPr>
          <w:rFonts w:hint="eastAsia" w:cs="宋体" w:asciiTheme="minorEastAsia" w:hAnsiTheme="minorEastAsia" w:eastAsiaTheme="minorEastAsia"/>
          <w:sz w:val="24"/>
          <w:szCs w:val="24"/>
          <w:lang w:val="zh-CN"/>
        </w:rPr>
        <w:t>“侯”的大小为八十厘米的正方框（白色区域）；内有四十厘米的正方框（黑色区域），称为“鹄”；“鹄”内有二十厘米的正方框（红色区域），称为“正”；“正”内有六厘米的正方框（黄色区域），称为“的”。压线矢计为相关内框内的命中。</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zh-CN"/>
        </w:rPr>
        <w:t>成绩判定方法</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最终成绩由靶上成绩和裁判判罚两部分构成。靶上成绩为射中“正”和“的”均计为五分，射中“鹄”计为三分，射中“侯”计为一分。如得分相同，中“的”多者排名靠前或获胜。</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lang w:val="zh-CN"/>
        </w:rPr>
        <w:t>侯靶</w:t>
      </w:r>
      <w:r>
        <w:rPr>
          <w:rFonts w:hint="eastAsia" w:cs="宋体" w:asciiTheme="minorEastAsia" w:hAnsiTheme="minorEastAsia" w:eastAsiaTheme="minorEastAsia"/>
          <w:sz w:val="24"/>
          <w:szCs w:val="24"/>
        </w:rPr>
        <w:t>个人</w:t>
      </w:r>
      <w:r>
        <w:rPr>
          <w:rFonts w:hint="eastAsia" w:cs="宋体" w:asciiTheme="minorEastAsia" w:hAnsiTheme="minorEastAsia" w:eastAsiaTheme="minorEastAsia"/>
          <w:sz w:val="24"/>
          <w:szCs w:val="24"/>
          <w:lang w:val="zh-CN"/>
        </w:rPr>
        <w:t>赛办法</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w:t>
      </w:r>
      <w:r>
        <w:rPr>
          <w:rFonts w:hint="eastAsia" w:cs="宋体" w:asciiTheme="minorEastAsia" w:hAnsiTheme="minorEastAsia" w:eastAsiaTheme="minorEastAsia"/>
          <w:sz w:val="24"/>
          <w:szCs w:val="24"/>
          <w:lang w:val="en-US" w:eastAsia="zh-CN"/>
        </w:rPr>
        <w:t>甲组（专业</w:t>
      </w:r>
      <w:r>
        <w:rPr>
          <w:rFonts w:hint="eastAsia" w:cs="宋体" w:asciiTheme="minorEastAsia" w:hAnsiTheme="minorEastAsia" w:eastAsiaTheme="minorEastAsia"/>
          <w:sz w:val="24"/>
          <w:szCs w:val="24"/>
          <w:lang w:val="zh-CN"/>
        </w:rPr>
        <w:t>组</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rPr>
        <w:t>在10米、15米两个</w:t>
      </w:r>
      <w:r>
        <w:rPr>
          <w:rFonts w:hint="eastAsia" w:cs="宋体" w:asciiTheme="minorEastAsia" w:hAnsiTheme="minorEastAsia" w:eastAsiaTheme="minorEastAsia"/>
          <w:sz w:val="24"/>
          <w:szCs w:val="24"/>
          <w:lang w:val="zh-CN"/>
        </w:rPr>
        <w:t>个距离上，按先远后近的顺序进行比赛。</w:t>
      </w:r>
      <w:r>
        <w:rPr>
          <w:rFonts w:hint="eastAsia" w:cs="宋体" w:asciiTheme="minorEastAsia" w:hAnsiTheme="minorEastAsia" w:eastAsiaTheme="minorEastAsia"/>
          <w:sz w:val="24"/>
          <w:szCs w:val="24"/>
        </w:rPr>
        <w:t>乙组</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新手组</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在6米、10米</w:t>
      </w:r>
      <w:r>
        <w:rPr>
          <w:rFonts w:hint="eastAsia" w:cs="宋体" w:asciiTheme="minorEastAsia" w:hAnsiTheme="minorEastAsia" w:eastAsiaTheme="minorEastAsia"/>
          <w:sz w:val="24"/>
          <w:szCs w:val="24"/>
          <w:lang w:val="zh-CN"/>
        </w:rPr>
        <w:t>距离上，按先远后近的顺序进行比赛。</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（2）以</w:t>
      </w:r>
      <w:r>
        <w:rPr>
          <w:rFonts w:hint="eastAsia" w:cs="宋体" w:asciiTheme="minorEastAsia" w:hAnsiTheme="minorEastAsia" w:eastAsiaTheme="minorEastAsia"/>
          <w:sz w:val="24"/>
          <w:szCs w:val="24"/>
        </w:rPr>
        <w:t>三</w:t>
      </w:r>
      <w:r>
        <w:rPr>
          <w:rFonts w:hint="eastAsia" w:cs="宋体" w:asciiTheme="minorEastAsia" w:hAnsiTheme="minorEastAsia" w:eastAsiaTheme="minorEastAsia"/>
          <w:sz w:val="24"/>
          <w:szCs w:val="24"/>
          <w:lang w:val="zh-CN"/>
        </w:rPr>
        <w:t>矢为一组，每个距离射</w:t>
      </w:r>
      <w:r>
        <w:rPr>
          <w:rFonts w:hint="eastAsia" w:cs="宋体" w:asciiTheme="minorEastAsia" w:hAnsiTheme="minorEastAsia" w:eastAsiaTheme="minorEastAsia"/>
          <w:sz w:val="24"/>
          <w:szCs w:val="24"/>
        </w:rPr>
        <w:t>两</w:t>
      </w:r>
      <w:r>
        <w:rPr>
          <w:rFonts w:hint="eastAsia" w:cs="宋体" w:asciiTheme="minorEastAsia" w:hAnsiTheme="minorEastAsia" w:eastAsiaTheme="minorEastAsia"/>
          <w:sz w:val="24"/>
          <w:szCs w:val="24"/>
          <w:lang w:val="zh-CN"/>
        </w:rPr>
        <w:t>番，共</w:t>
      </w:r>
      <w:r>
        <w:rPr>
          <w:rFonts w:hint="eastAsia" w:cs="宋体" w:asciiTheme="minorEastAsia" w:hAnsiTheme="minorEastAsia" w:eastAsiaTheme="minorEastAsia"/>
          <w:sz w:val="24"/>
          <w:szCs w:val="24"/>
        </w:rPr>
        <w:t>六</w:t>
      </w:r>
      <w:r>
        <w:rPr>
          <w:rFonts w:hint="eastAsia" w:cs="宋体" w:asciiTheme="minorEastAsia" w:hAnsiTheme="minorEastAsia" w:eastAsiaTheme="minorEastAsia"/>
          <w:sz w:val="24"/>
          <w:szCs w:val="24"/>
          <w:lang w:val="zh-CN"/>
        </w:rPr>
        <w:t>矢；每番时限一百六十秒。</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（3）最终</w:t>
      </w:r>
      <w:r>
        <w:rPr>
          <w:rFonts w:hint="eastAsia" w:cs="宋体" w:asciiTheme="minorEastAsia" w:hAnsiTheme="minorEastAsia" w:eastAsiaTheme="minorEastAsia"/>
          <w:sz w:val="24"/>
          <w:szCs w:val="24"/>
        </w:rPr>
        <w:t>两</w:t>
      </w:r>
      <w:r>
        <w:rPr>
          <w:rFonts w:hint="eastAsia" w:cs="宋体" w:asciiTheme="minorEastAsia" w:hAnsiTheme="minorEastAsia" w:eastAsiaTheme="minorEastAsia"/>
          <w:sz w:val="24"/>
          <w:szCs w:val="24"/>
          <w:lang w:val="zh-CN"/>
        </w:rPr>
        <w:t>个距离上</w:t>
      </w:r>
      <w:r>
        <w:rPr>
          <w:rFonts w:hint="eastAsia" w:cs="宋体" w:asciiTheme="minorEastAsia" w:hAnsiTheme="minorEastAsia" w:eastAsiaTheme="minorEastAsia"/>
          <w:sz w:val="24"/>
          <w:szCs w:val="24"/>
        </w:rPr>
        <w:t>六</w:t>
      </w:r>
      <w:r>
        <w:rPr>
          <w:rFonts w:hint="eastAsia" w:cs="宋体" w:asciiTheme="minorEastAsia" w:hAnsiTheme="minorEastAsia" w:eastAsiaTheme="minorEastAsia"/>
          <w:sz w:val="24"/>
          <w:szCs w:val="24"/>
          <w:lang w:val="zh-CN"/>
        </w:rPr>
        <w:t>矢的总得分作为个人排名赛成绩。如得分相同，射中“的”多者排名靠前；如得分仍相同，射中“正”多者排名靠前。</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lang w:val="zh-CN"/>
        </w:rPr>
        <w:t>记分方法</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每个靶位设一位记分员。每支箭的得分由其所属运动员从高到低顺序报出，记分员负责记录。同靶位的其他运动员负责核实报出的每支箭的得分，并监督记分员记分。如有异议，由裁判员做出最终判定。记分表上的成绩，由该靶位所有运动员确认后，方可进行拔箭。在箭尚未拔出之前，发现记分表上的错误可予以改正，裁判员须在记分表上修改处签名确认。一旦箭被拔出，记分表上的成绩将不能进行修改。</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lang w:val="zh-CN"/>
        </w:rPr>
        <w:t xml:space="preserve">每次记分完毕，运动员应标好靶纸上的所有箭孔，然后取箭。箭靶有反弹落地或悬挂在靶上的箭，为反弹箭。反弹落地箭的判定方法，若所有其他箭孔已经标好，只有一个箭孔未标或中靶点可被识别，则将按靶纸上的标记计算得分。如有两个以上(含两个)未标箭孔，则按得分最低的箭孔计算得分；如有同一轮中两个人同时出现反弹箭，则两人均按最高的箭孔计算得分；如有悬挂箭，则按照其命中靶纸的位置计得分。 </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lang w:val="zh-CN"/>
        </w:rPr>
        <w:t xml:space="preserve">如果出现反弹箭或穿透箭，应按照以下方式记分： </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zh-CN"/>
        </w:rPr>
        <w:t xml:space="preserve">）如果同一发射组(同一靶位)的所有运动员认同发生了反弹箭或穿透箭，他们可认定该箭的得分； </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lang w:val="zh-CN"/>
        </w:rPr>
        <w:t xml:space="preserve">）一矢射中另一支中靶箭的箭尾并嵌进箭尾，按已中靶的箭的得分计算。 </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lang w:val="zh-CN"/>
        </w:rPr>
        <w:t xml:space="preserve">）一矢射中另一矢又反弹落地，按射中的靶的得分计算，前提是射坏的箭可被识别。 </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四</w:t>
      </w:r>
      <w:r>
        <w:rPr>
          <w:rFonts w:hint="eastAsia" w:cs="宋体" w:asciiTheme="minorEastAsia" w:hAnsiTheme="minorEastAsia" w:eastAsiaTheme="minorEastAsia"/>
          <w:sz w:val="24"/>
          <w:szCs w:val="24"/>
          <w:lang w:val="zh-CN"/>
        </w:rPr>
        <w:t xml:space="preserve">) </w:t>
      </w:r>
      <w:r>
        <w:rPr>
          <w:rFonts w:hint="eastAsia" w:cs="宋体" w:asciiTheme="minorEastAsia" w:hAnsiTheme="minorEastAsia" w:eastAsiaTheme="minorEastAsia"/>
          <w:sz w:val="24"/>
          <w:szCs w:val="24"/>
        </w:rPr>
        <w:t>萨仁靶</w:t>
      </w:r>
      <w:r>
        <w:rPr>
          <w:rFonts w:hint="eastAsia" w:cs="宋体" w:asciiTheme="minorEastAsia" w:hAnsiTheme="minorEastAsia" w:eastAsiaTheme="minorEastAsia"/>
          <w:sz w:val="24"/>
          <w:szCs w:val="24"/>
          <w:lang w:val="zh-CN"/>
        </w:rPr>
        <w:t>按以下竞赛办法执行。</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zh-CN"/>
        </w:rPr>
        <w:t>比赛用</w:t>
      </w:r>
      <w:r>
        <w:rPr>
          <w:rFonts w:hint="eastAsia" w:cs="宋体" w:asciiTheme="minorEastAsia" w:hAnsiTheme="minorEastAsia" w:eastAsiaTheme="minorEastAsia"/>
          <w:sz w:val="24"/>
          <w:szCs w:val="24"/>
        </w:rPr>
        <w:t>靶</w:t>
      </w:r>
      <w:r>
        <w:rPr>
          <w:rFonts w:hint="eastAsia" w:cs="宋体" w:asciiTheme="minorEastAsia" w:hAnsiTheme="minorEastAsia" w:eastAsiaTheme="minorEastAsia"/>
          <w:sz w:val="24"/>
          <w:szCs w:val="24"/>
          <w:lang w:val="zh-CN"/>
        </w:rPr>
        <w:t>为</w:t>
      </w:r>
      <w:r>
        <w:rPr>
          <w:rFonts w:hint="eastAsia" w:cs="宋体" w:asciiTheme="minorEastAsia" w:hAnsiTheme="minorEastAsia" w:eastAsiaTheme="minorEastAsia"/>
          <w:sz w:val="24"/>
          <w:szCs w:val="24"/>
        </w:rPr>
        <w:t>萨仁</w:t>
      </w:r>
      <w:r>
        <w:rPr>
          <w:rFonts w:hint="eastAsia" w:cs="宋体" w:asciiTheme="minorEastAsia" w:hAnsiTheme="minorEastAsia" w:eastAsiaTheme="minorEastAsia"/>
          <w:sz w:val="24"/>
          <w:szCs w:val="24"/>
          <w:lang w:val="zh-CN"/>
        </w:rPr>
        <w:t>靶。</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zh-CN"/>
        </w:rPr>
        <w:t>成绩判定方法。</w:t>
      </w:r>
    </w:p>
    <w:p>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rPr>
        <w:t xml:space="preserve"> 萨人靶由内至外为5分、4分、3分、2分、1分，若射出击靶却未落环，则为1分。</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（2）以</w:t>
      </w:r>
      <w:r>
        <w:rPr>
          <w:rFonts w:hint="eastAsia" w:cs="宋体" w:asciiTheme="minorEastAsia" w:hAnsiTheme="minorEastAsia" w:eastAsiaTheme="minorEastAsia"/>
          <w:sz w:val="24"/>
          <w:szCs w:val="24"/>
        </w:rPr>
        <w:t>三</w:t>
      </w:r>
      <w:r>
        <w:rPr>
          <w:rFonts w:hint="eastAsia" w:cs="宋体" w:asciiTheme="minorEastAsia" w:hAnsiTheme="minorEastAsia" w:eastAsiaTheme="minorEastAsia"/>
          <w:sz w:val="24"/>
          <w:szCs w:val="24"/>
          <w:lang w:val="zh-CN"/>
        </w:rPr>
        <w:t>矢为一组，每个距离射</w:t>
      </w:r>
      <w:r>
        <w:rPr>
          <w:rFonts w:hint="eastAsia" w:cs="宋体" w:asciiTheme="minorEastAsia" w:hAnsiTheme="minorEastAsia" w:eastAsiaTheme="minorEastAsia"/>
          <w:sz w:val="24"/>
          <w:szCs w:val="24"/>
        </w:rPr>
        <w:t>一</w:t>
      </w:r>
      <w:r>
        <w:rPr>
          <w:rFonts w:hint="eastAsia" w:cs="宋体" w:asciiTheme="minorEastAsia" w:hAnsiTheme="minorEastAsia" w:eastAsiaTheme="minorEastAsia"/>
          <w:sz w:val="24"/>
          <w:szCs w:val="24"/>
          <w:lang w:val="zh-CN"/>
        </w:rPr>
        <w:t>番，共三番；每番时限一百六十秒。</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（3）最终三番的总得分作为个人排名赛成绩。如得分相同，射中“</w:t>
      </w:r>
      <w:r>
        <w:rPr>
          <w:rFonts w:hint="eastAsia" w:cs="宋体" w:asciiTheme="minorEastAsia" w:hAnsiTheme="minorEastAsia" w:eastAsiaTheme="minorEastAsia"/>
          <w:sz w:val="24"/>
          <w:szCs w:val="24"/>
        </w:rPr>
        <w:t>5分</w:t>
      </w:r>
      <w:r>
        <w:rPr>
          <w:rFonts w:hint="eastAsia" w:cs="宋体" w:asciiTheme="minorEastAsia" w:hAnsiTheme="minorEastAsia" w:eastAsiaTheme="minorEastAsia"/>
          <w:sz w:val="24"/>
          <w:szCs w:val="24"/>
          <w:lang w:val="zh-CN"/>
        </w:rPr>
        <w:t>”多者排名靠前；如得分仍相同，射中“</w:t>
      </w:r>
      <w:r>
        <w:rPr>
          <w:rFonts w:hint="eastAsia" w:cs="宋体" w:asciiTheme="minorEastAsia" w:hAnsiTheme="minorEastAsia" w:eastAsiaTheme="minorEastAsia"/>
          <w:sz w:val="24"/>
          <w:szCs w:val="24"/>
        </w:rPr>
        <w:t>4分</w:t>
      </w:r>
      <w:r>
        <w:rPr>
          <w:rFonts w:hint="eastAsia" w:cs="宋体" w:asciiTheme="minorEastAsia" w:hAnsiTheme="minorEastAsia" w:eastAsiaTheme="minorEastAsia"/>
          <w:sz w:val="24"/>
          <w:szCs w:val="24"/>
          <w:lang w:val="zh-CN"/>
        </w:rPr>
        <w:t>”多者排名靠前。</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lang w:val="zh-CN"/>
        </w:rPr>
        <w:t>）如有异议，由裁判员做出最终判定</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rPr>
        <w:tab/>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五</w:t>
      </w:r>
      <w:r>
        <w:rPr>
          <w:rFonts w:hint="eastAsia" w:cs="宋体" w:asciiTheme="minorEastAsia" w:hAnsiTheme="minorEastAsia" w:eastAsiaTheme="minorEastAsia"/>
          <w:sz w:val="24"/>
          <w:szCs w:val="24"/>
          <w:lang w:val="zh-CN"/>
        </w:rPr>
        <w:t xml:space="preserve">) </w:t>
      </w:r>
      <w:r>
        <w:rPr>
          <w:rFonts w:hint="eastAsia" w:cs="宋体" w:asciiTheme="minorEastAsia" w:hAnsiTheme="minorEastAsia" w:eastAsiaTheme="minorEastAsia"/>
          <w:sz w:val="24"/>
          <w:szCs w:val="24"/>
        </w:rPr>
        <w:t>投壶</w:t>
      </w:r>
      <w:r>
        <w:rPr>
          <w:rFonts w:hint="eastAsia" w:cs="宋体" w:asciiTheme="minorEastAsia" w:hAnsiTheme="minorEastAsia" w:eastAsiaTheme="minorEastAsia"/>
          <w:sz w:val="24"/>
          <w:szCs w:val="24"/>
          <w:lang w:val="zh-CN"/>
        </w:rPr>
        <w:t>按以下竞赛办法执行。</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zh-CN"/>
        </w:rPr>
        <w:t>比赛</w:t>
      </w:r>
      <w:r>
        <w:rPr>
          <w:rFonts w:hint="eastAsia" w:cs="宋体" w:asciiTheme="minorEastAsia" w:hAnsiTheme="minorEastAsia" w:eastAsiaTheme="minorEastAsia"/>
          <w:sz w:val="24"/>
          <w:szCs w:val="24"/>
        </w:rPr>
        <w:t>时，壶由</w:t>
      </w:r>
      <w:r>
        <w:rPr>
          <w:rFonts w:hint="eastAsia" w:cs="宋体" w:asciiTheme="minorEastAsia" w:hAnsiTheme="minorEastAsia" w:eastAsiaTheme="minorEastAsia"/>
          <w:sz w:val="24"/>
          <w:szCs w:val="24"/>
          <w:lang w:val="en-US" w:eastAsia="zh-CN"/>
        </w:rPr>
        <w:t>主</w:t>
      </w:r>
      <w:r>
        <w:rPr>
          <w:rFonts w:hint="eastAsia" w:cs="宋体" w:asciiTheme="minorEastAsia" w:hAnsiTheme="minorEastAsia" w:eastAsiaTheme="minorEastAsia"/>
          <w:sz w:val="24"/>
          <w:szCs w:val="24"/>
        </w:rPr>
        <w:t>办单位提供</w:t>
      </w:r>
      <w:r>
        <w:rPr>
          <w:rFonts w:hint="eastAsia" w:cs="宋体" w:asciiTheme="minorEastAsia" w:hAnsiTheme="minorEastAsia" w:eastAsiaTheme="minorEastAsia"/>
          <w:sz w:val="24"/>
          <w:szCs w:val="24"/>
          <w:lang w:val="zh-CN"/>
        </w:rPr>
        <w:t>。</w:t>
      </w:r>
    </w:p>
    <w:p>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rPr>
        <w:t>规则：运动员站在规定的距离外，手持矢往壶中投，矢入壶记分。</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zh-CN"/>
        </w:rPr>
        <w:t>以</w:t>
      </w:r>
      <w:r>
        <w:rPr>
          <w:rFonts w:hint="eastAsia" w:cs="宋体" w:asciiTheme="minorEastAsia" w:hAnsiTheme="minorEastAsia" w:eastAsiaTheme="minorEastAsia"/>
          <w:sz w:val="24"/>
          <w:szCs w:val="24"/>
        </w:rPr>
        <w:t>三</w:t>
      </w:r>
      <w:r>
        <w:rPr>
          <w:rFonts w:hint="eastAsia" w:cs="宋体" w:asciiTheme="minorEastAsia" w:hAnsiTheme="minorEastAsia" w:eastAsiaTheme="minorEastAsia"/>
          <w:sz w:val="24"/>
          <w:szCs w:val="24"/>
          <w:lang w:val="zh-CN"/>
        </w:rPr>
        <w:t>矢为一组，每个距离射</w:t>
      </w:r>
      <w:r>
        <w:rPr>
          <w:rFonts w:hint="eastAsia" w:cs="宋体" w:asciiTheme="minorEastAsia" w:hAnsiTheme="minorEastAsia" w:eastAsiaTheme="minorEastAsia"/>
          <w:sz w:val="24"/>
          <w:szCs w:val="24"/>
        </w:rPr>
        <w:t>一</w:t>
      </w:r>
      <w:r>
        <w:rPr>
          <w:rFonts w:hint="eastAsia" w:cs="宋体" w:asciiTheme="minorEastAsia" w:hAnsiTheme="minorEastAsia" w:eastAsiaTheme="minorEastAsia"/>
          <w:sz w:val="24"/>
          <w:szCs w:val="24"/>
          <w:lang w:val="zh-CN"/>
        </w:rPr>
        <w:t>番，共三番；每番时限六十秒。</w:t>
      </w:r>
    </w:p>
    <w:p>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zh-CN"/>
        </w:rPr>
        <w:t>最终三番的总得分作为个人排名赛成绩</w:t>
      </w:r>
      <w:r>
        <w:rPr>
          <w:rFonts w:hint="eastAsia" w:cs="宋体" w:asciiTheme="minorEastAsia" w:hAnsiTheme="minorEastAsia" w:eastAsiaTheme="minorEastAsia"/>
          <w:sz w:val="24"/>
          <w:szCs w:val="24"/>
        </w:rPr>
        <w:t>。</w:t>
      </w:r>
    </w:p>
    <w:p>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eastAsiaTheme="minorEastAsia"/>
          <w:sz w:val="24"/>
          <w:szCs w:val="24"/>
          <w:lang w:val="zh-CN"/>
        </w:rPr>
        <w:t>如有异议，由裁判员做出最终判定</w:t>
      </w:r>
      <w:r>
        <w:rPr>
          <w:rFonts w:hint="eastAsia" w:cs="宋体" w:asciiTheme="minorEastAsia" w:hAnsiTheme="minorEastAsia" w:eastAsiaTheme="minorEastAsia"/>
          <w:sz w:val="24"/>
          <w:szCs w:val="24"/>
        </w:rPr>
        <w:t>。</w:t>
      </w:r>
    </w:p>
    <w:p>
      <w:pPr>
        <w:rPr>
          <w:rFonts w:hint="eastAsia"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二、传统弓比赛器材及有关规定</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 xml:space="preserve">弓必须是裸弓，不包含任何延伸器材、瞄准标记、可以作为瞄准的记号、刮痕或被压过的痕迹，不能安装瞄准窗、箭台、可具箭台功能的任何物件、张弓指示器、稳定器材等辅助设备 。 </w:t>
      </w:r>
    </w:p>
    <w:p>
      <w:pPr>
        <w:rPr>
          <w:rFonts w:hint="eastAsia"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三、对犯规的处罚</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一)如果发现运动员使用不符合传统弓比赛规定的器材，可取消其比赛成绩，并取消参加本次比赛的资格。如果发现运动员使用不符合传统弓比赛规定的技术动作，可取消其比赛成绩，并取消参加本次比赛的资格。</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(二)如果被证明有关运动员系故意违反规则和规定，将被取消参加今本次比赛赛的资格，其所获名次也相应被取消。</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(三)不允许存在违反体育道德的行为。运动员本人或被视为协助其他任何人的此类行为会导致该名运动员或上述人员被取消参赛资格，可能还会导致其无法参加后续比赛。</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(四)任何人未经授权篡改或伪造成绩或故意责成他人篡改或伪造成绩的，将被取消参加本次比赛的资格。</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(五)如果一名运动员开弓时坚持使用裁判员认为有危险的技术动作，裁判员应要求其立即停止比赛，同时取消其参赛资格。</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(六)在比赛中，如果运动员在裁判员发令停止比赛后仍将箭射出，则该运动员将丧失靶上环值最高的一箭。</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(七)任何运动员未经其他运动员同意，不得触碰其器材。</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(八)在靶上所有箭支的得分被记录下来且经过核实之前，任何人不得碰触箭支、靶纸。</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(九)运动员必须按照规定携带相应的箭数进入射位，不得多带。如有运动员射出的箭数，超过规定箭数，则从最高得分区扣除一支箭的得分。</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(十)超时发射的，该矢不得分，另外扣除最高得分箭一支。</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(十一)运动员左右空间的最大距离为80厘米，不得做横弓等超过左右空间距离的动作。</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(十二)赛场内禁止吸烟。</w:t>
      </w:r>
    </w:p>
    <w:p>
      <w:pPr>
        <w:rPr>
          <w:rFonts w:hint="eastAsia"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四、疑问和争议</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(一)运动员如对中靶的区域存有疑问，应在拔箭之前提出。</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(二)裁判的判决为最终判决。</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(三)拔箭之前，记分表上的任何错误可予以更正，但该靶的所有运动员必须就更正事宜达成一致。此项更正应由该靶所有运动员见证并签字确认。其他任何有关记分表数值的争议必须交由裁判员裁定。</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(四)如果赛场器材存在缺陷、或者靶纸被严重磨损或存在其他损坏，运动员或领队可向裁判员提出，请求更换或修理缺陷器材。</w:t>
      </w:r>
    </w:p>
    <w:p>
      <w:pPr>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(五)任何有关比赛进程及运动员行为的问题都必须在下一阶段的比赛开始之前向裁判员提出。</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p>
    <w:p>
      <w:pPr>
        <w:ind w:firstLine="5880" w:firstLineChars="21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成都大学射箭协会</w:t>
      </w:r>
    </w:p>
    <w:p>
      <w:pPr>
        <w:ind w:firstLine="5880" w:firstLineChars="21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2020年10月20日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简">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D0232"/>
    <w:rsid w:val="00A5071F"/>
    <w:rsid w:val="0CE84791"/>
    <w:rsid w:val="2E2D0232"/>
    <w:rsid w:val="620A04C6"/>
    <w:rsid w:val="63DB7885"/>
    <w:rsid w:val="64982C8C"/>
    <w:rsid w:val="7A2E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2020-10-13T13:32:00Z</dcterms:created>
  <dc:creator>朱国忠</dc:creator>
  <cp:lastModifiedBy>兔先生</cp:lastModifiedBy>
  <dcterms:modified xsi:type="dcterms:W3CDTF">2020-10-21T01:37:06Z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